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02" w:rsidRPr="00380D46" w:rsidRDefault="00380D46" w:rsidP="00280C02">
      <w:pPr>
        <w:shd w:val="clear" w:color="auto" w:fill="FFFF00"/>
        <w:spacing w:after="0" w:line="240" w:lineRule="auto"/>
        <w:jc w:val="center"/>
        <w:rPr>
          <w:b/>
          <w:sz w:val="34"/>
          <w:szCs w:val="34"/>
          <w:u w:val="single"/>
        </w:rPr>
      </w:pPr>
      <w:r>
        <w:rPr>
          <w:b/>
          <w:sz w:val="34"/>
          <w:szCs w:val="34"/>
          <w:u w:val="single"/>
          <w:lang w:val="en-US"/>
        </w:rPr>
        <w:t>Vouchers</w:t>
      </w:r>
      <w:r w:rsidRPr="00380D46">
        <w:rPr>
          <w:b/>
          <w:sz w:val="34"/>
          <w:szCs w:val="34"/>
          <w:u w:val="single"/>
        </w:rPr>
        <w:t xml:space="preserve"> </w:t>
      </w:r>
      <w:r>
        <w:rPr>
          <w:b/>
          <w:sz w:val="34"/>
          <w:szCs w:val="34"/>
          <w:u w:val="single"/>
        </w:rPr>
        <w:t xml:space="preserve">για απόκτηση &amp; διασύνδεση </w:t>
      </w:r>
      <w:r>
        <w:rPr>
          <w:b/>
          <w:sz w:val="34"/>
          <w:szCs w:val="34"/>
          <w:u w:val="single"/>
          <w:lang w:val="en-US"/>
        </w:rPr>
        <w:t>POS</w:t>
      </w:r>
    </w:p>
    <w:p w:rsidR="008E1B7F" w:rsidRPr="00C14400" w:rsidRDefault="00380D46" w:rsidP="00280C02">
      <w:pPr>
        <w:shd w:val="clear" w:color="auto" w:fill="FFFF00"/>
        <w:spacing w:after="0" w:line="240" w:lineRule="auto"/>
        <w:ind w:right="-4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- Ερωτοαπαντήσεις/Διευκρινίσεις - </w:t>
      </w:r>
    </w:p>
    <w:p w:rsidR="001B776B" w:rsidRDefault="001B776B" w:rsidP="001B776B">
      <w:pPr>
        <w:rPr>
          <w:b/>
        </w:rPr>
      </w:pPr>
    </w:p>
    <w:p w:rsidR="00380D46" w:rsidRPr="00781E55" w:rsidRDefault="00132EEC" w:rsidP="00CF1C7B">
      <w:pPr>
        <w:shd w:val="clear" w:color="auto" w:fill="D9D9D9" w:themeFill="background1" w:themeFillShade="D9"/>
        <w:spacing w:after="120" w:line="300" w:lineRule="auto"/>
        <w:rPr>
          <w:b/>
          <w:sz w:val="24"/>
          <w:szCs w:val="24"/>
        </w:rPr>
      </w:pPr>
      <w:r w:rsidRPr="00781E55">
        <w:rPr>
          <w:b/>
          <w:sz w:val="24"/>
          <w:szCs w:val="24"/>
        </w:rPr>
        <w:t xml:space="preserve">1. </w:t>
      </w:r>
      <w:r w:rsidR="00380D46" w:rsidRPr="00781E55">
        <w:rPr>
          <w:b/>
          <w:sz w:val="24"/>
          <w:szCs w:val="24"/>
        </w:rPr>
        <w:t xml:space="preserve"> </w:t>
      </w:r>
      <w:r w:rsidR="00781E55">
        <w:rPr>
          <w:b/>
          <w:sz w:val="24"/>
          <w:szCs w:val="24"/>
        </w:rPr>
        <w:t>Κατηγορίες ψηφιακών υπηρεσιών που μπορούν να επιλέξουν οι επιχειρήσεις</w:t>
      </w:r>
    </w:p>
    <w:p w:rsidR="00380D46" w:rsidRDefault="00380D46" w:rsidP="00CF1C7B">
      <w:pPr>
        <w:spacing w:after="120" w:line="300" w:lineRule="auto"/>
      </w:pPr>
      <w:r>
        <w:t>Μεγάλο μέρος του συνολικού κόστους καλύπτεται από το Πρόγραμμα «Ψηφιακές Συναλλαγές»</w:t>
      </w:r>
      <w:r w:rsidRPr="00380D46">
        <w:t xml:space="preserve">, </w:t>
      </w:r>
      <w:r>
        <w:t>της Δ</w:t>
      </w:r>
      <w:r w:rsidRPr="00380D46">
        <w:t>ράσης «Ψηφιακός Μετασχηματισμός ΜμΕ</w:t>
      </w:r>
      <w:r w:rsidR="00AB75CD">
        <w:t>»</w:t>
      </w:r>
      <w:r>
        <w:t xml:space="preserve">. Η ενίσχυση έχει τη μορφή </w:t>
      </w:r>
      <w:r w:rsidRPr="00380D46">
        <w:rPr>
          <w:b/>
        </w:rPr>
        <w:t>επιταγής (</w:t>
      </w:r>
      <w:r>
        <w:rPr>
          <w:b/>
          <w:lang w:val="en-US"/>
        </w:rPr>
        <w:t>V</w:t>
      </w:r>
      <w:r w:rsidRPr="00380D46">
        <w:rPr>
          <w:b/>
        </w:rPr>
        <w:t>oucher)</w:t>
      </w:r>
      <w:r>
        <w:t xml:space="preserve"> και ο κάθε δικαιούχος έχει τη δυνατότητα να τη χρησιμοποιήσει σε </w:t>
      </w:r>
      <w:r w:rsidR="002F78D0">
        <w:t>εγκεκριμένους από το Πρόγραμμα Π</w:t>
      </w:r>
      <w:r>
        <w:t>ρομηθευτές</w:t>
      </w:r>
      <w:r w:rsidR="00AB75CD">
        <w:t>,</w:t>
      </w:r>
      <w:r>
        <w:t xml:space="preserve"> στις παρακάτω Κατηγορίες:</w:t>
      </w:r>
    </w:p>
    <w:p w:rsidR="00781E55" w:rsidRDefault="00380D46" w:rsidP="00CF1C7B">
      <w:pPr>
        <w:pStyle w:val="a5"/>
        <w:numPr>
          <w:ilvl w:val="0"/>
          <w:numId w:val="1"/>
        </w:numPr>
        <w:spacing w:after="120" w:line="300" w:lineRule="auto"/>
        <w:ind w:left="567" w:hanging="357"/>
        <w:contextualSpacing w:val="0"/>
      </w:pPr>
      <w:r w:rsidRPr="00781E55">
        <w:rPr>
          <w:b/>
        </w:rPr>
        <w:t>Κατηγορία 1:</w:t>
      </w:r>
      <w:r>
        <w:t xml:space="preserve"> </w:t>
      </w:r>
      <w:r w:rsidR="00781E55">
        <w:t xml:space="preserve"> </w:t>
      </w:r>
      <w:r>
        <w:t>Προμήθεια νέου ή αντικατάσταση υφιστάμενου EFT/POS.</w:t>
      </w:r>
    </w:p>
    <w:p w:rsidR="00781E55" w:rsidRDefault="00380D46" w:rsidP="00CF1C7B">
      <w:pPr>
        <w:pStyle w:val="a5"/>
        <w:numPr>
          <w:ilvl w:val="0"/>
          <w:numId w:val="1"/>
        </w:numPr>
        <w:spacing w:after="120" w:line="300" w:lineRule="auto"/>
        <w:ind w:left="567" w:hanging="357"/>
        <w:contextualSpacing w:val="0"/>
      </w:pPr>
      <w:r w:rsidRPr="00781E55">
        <w:rPr>
          <w:b/>
        </w:rPr>
        <w:t>Κατηγορία 3:</w:t>
      </w:r>
      <w:r>
        <w:t xml:space="preserve"> </w:t>
      </w:r>
      <w:r w:rsidR="00781E55">
        <w:t xml:space="preserve"> </w:t>
      </w:r>
      <w:r>
        <w:t>Λήψη υπηρεσιών παρόχου ηλεκτρονικής τιμολόγησης &amp; λογισμικών τιμολόγησης</w:t>
      </w:r>
      <w:r w:rsidR="00781E55">
        <w:t>.</w:t>
      </w:r>
    </w:p>
    <w:p w:rsidR="00781E55" w:rsidRDefault="00380D46" w:rsidP="00CF1C7B">
      <w:pPr>
        <w:pStyle w:val="a5"/>
        <w:numPr>
          <w:ilvl w:val="0"/>
          <w:numId w:val="1"/>
        </w:numPr>
        <w:spacing w:after="120" w:line="300" w:lineRule="auto"/>
        <w:ind w:left="567" w:hanging="357"/>
        <w:contextualSpacing w:val="0"/>
      </w:pPr>
      <w:r w:rsidRPr="00781E55">
        <w:rPr>
          <w:b/>
        </w:rPr>
        <w:t>Κατηγορία 4:</w:t>
      </w:r>
      <w:r>
        <w:t xml:space="preserve"> </w:t>
      </w:r>
      <w:r w:rsidR="00781E55">
        <w:t xml:space="preserve"> </w:t>
      </w:r>
      <w:r>
        <w:t>Αναβάθμιση ΦΤΜ &amp; ΑΔΗΜΕ για διασύνδεση με EFT/POS.</w:t>
      </w:r>
    </w:p>
    <w:p w:rsidR="00781E55" w:rsidRDefault="00380D46" w:rsidP="00CF1C7B">
      <w:pPr>
        <w:pStyle w:val="a5"/>
        <w:numPr>
          <w:ilvl w:val="0"/>
          <w:numId w:val="1"/>
        </w:numPr>
        <w:spacing w:after="120" w:line="300" w:lineRule="auto"/>
        <w:ind w:left="567" w:hanging="357"/>
        <w:contextualSpacing w:val="0"/>
      </w:pPr>
      <w:r w:rsidRPr="00781E55">
        <w:rPr>
          <w:b/>
        </w:rPr>
        <w:t>Κατηγορία 5:</w:t>
      </w:r>
      <w:r>
        <w:t xml:space="preserve"> </w:t>
      </w:r>
      <w:r w:rsidR="00781E55">
        <w:t xml:space="preserve"> </w:t>
      </w:r>
      <w:r>
        <w:t>Αντικατάσταση ΕΑΦΔΣΣ, εκτός των επιχειρήσεων εστίασης.</w:t>
      </w:r>
    </w:p>
    <w:p w:rsidR="00781E55" w:rsidRDefault="00781E55" w:rsidP="00CF1C7B">
      <w:pPr>
        <w:spacing w:after="120" w:line="300" w:lineRule="auto"/>
      </w:pPr>
      <w:r>
        <w:t xml:space="preserve">Επιπλέον, αναμένεται η έναρξη και </w:t>
      </w:r>
      <w:r w:rsidRPr="00781E55">
        <w:rPr>
          <w:b/>
        </w:rPr>
        <w:t>5</w:t>
      </w:r>
      <w:r w:rsidRPr="00781E55">
        <w:rPr>
          <w:b/>
          <w:vertAlign w:val="superscript"/>
        </w:rPr>
        <w:t xml:space="preserve">ου </w:t>
      </w:r>
      <w:r w:rsidRPr="00781E55">
        <w:rPr>
          <w:b/>
        </w:rPr>
        <w:t>κύκλου</w:t>
      </w:r>
      <w:r>
        <w:t xml:space="preserve"> χρηματοδότησης για όσες επιχειρήσεις δεν εντάχθηκαν στους προηγούμενους κύκλους και δικαιούνται χρηματοδότησης.</w:t>
      </w:r>
    </w:p>
    <w:p w:rsidR="00781E55" w:rsidRPr="00781E55" w:rsidRDefault="00781E55" w:rsidP="00CF1C7B">
      <w:pPr>
        <w:shd w:val="clear" w:color="auto" w:fill="D9D9D9" w:themeFill="background1" w:themeFillShade="D9"/>
        <w:spacing w:after="120" w:line="3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781E55"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</w:rPr>
        <w:t xml:space="preserve">Ψηφιακή Πλατφόρμα και διορία υποβολής ηλεκτρονικής αίτησης </w:t>
      </w:r>
    </w:p>
    <w:p w:rsidR="00781E55" w:rsidRDefault="00781E55" w:rsidP="00CF1C7B">
      <w:pPr>
        <w:spacing w:after="120" w:line="300" w:lineRule="auto"/>
        <w:rPr>
          <w:b/>
          <w:sz w:val="24"/>
          <w:szCs w:val="24"/>
        </w:rPr>
      </w:pPr>
      <w:r>
        <w:t>Στο πλαίσιο του 4</w:t>
      </w:r>
      <w:r w:rsidRPr="00380D46">
        <w:rPr>
          <w:vertAlign w:val="superscript"/>
        </w:rPr>
        <w:t>ου</w:t>
      </w:r>
      <w:r>
        <w:t xml:space="preserve"> κύκλου οι επιχειρήσεις έχουν το δικαίωμα να υποβάλουν αίτηση στην ηλεκτρονική πλατφόρμα </w:t>
      </w:r>
      <w:r w:rsidRPr="00380D46">
        <w:rPr>
          <w:b/>
          <w:u w:val="single"/>
        </w:rPr>
        <w:t>digitalsme.gov.gr</w:t>
      </w:r>
      <w:r>
        <w:t xml:space="preserve">, από τη </w:t>
      </w:r>
      <w:r w:rsidRPr="00781E55">
        <w:rPr>
          <w:u w:val="single"/>
        </w:rPr>
        <w:t xml:space="preserve">Δευτέρα, </w:t>
      </w:r>
      <w:r w:rsidRPr="001C33C2">
        <w:rPr>
          <w:b/>
          <w:u w:val="single"/>
        </w:rPr>
        <w:t>26 Φεβρουαρίου</w:t>
      </w:r>
      <w:r w:rsidRPr="00781E55">
        <w:rPr>
          <w:u w:val="single"/>
        </w:rPr>
        <w:t xml:space="preserve"> έως</w:t>
      </w:r>
      <w:r w:rsidRPr="00380D46">
        <w:rPr>
          <w:u w:val="single"/>
        </w:rPr>
        <w:t xml:space="preserve"> και την Τρίτη</w:t>
      </w:r>
      <w:r w:rsidR="00CF1C7B">
        <w:rPr>
          <w:u w:val="single"/>
        </w:rPr>
        <w:t>,</w:t>
      </w:r>
      <w:r w:rsidRPr="00380D46">
        <w:rPr>
          <w:u w:val="single"/>
        </w:rPr>
        <w:t xml:space="preserve"> </w:t>
      </w:r>
      <w:r w:rsidRPr="001C33C2">
        <w:rPr>
          <w:b/>
          <w:u w:val="single"/>
        </w:rPr>
        <w:t>12 Μαρτίου</w:t>
      </w:r>
      <w:r w:rsidRPr="00380D46">
        <w:rPr>
          <w:u w:val="single"/>
        </w:rPr>
        <w:t xml:space="preserve"> 2024</w:t>
      </w:r>
      <w:r>
        <w:t>.</w:t>
      </w:r>
    </w:p>
    <w:p w:rsidR="00781E55" w:rsidRPr="00781E55" w:rsidRDefault="00781E55" w:rsidP="00CF1C7B">
      <w:pPr>
        <w:shd w:val="clear" w:color="auto" w:fill="D9D9D9" w:themeFill="background1" w:themeFillShade="D9"/>
        <w:spacing w:after="120" w:line="3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781E55"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</w:rPr>
        <w:t>Ένταξη επιπρόσθετων δικαιούχων ΚΑΔ επιχειρήσεων στον 4</w:t>
      </w:r>
      <w:r w:rsidRPr="00781E55">
        <w:rPr>
          <w:b/>
          <w:sz w:val="24"/>
          <w:szCs w:val="24"/>
          <w:vertAlign w:val="superscript"/>
        </w:rPr>
        <w:t>ο</w:t>
      </w:r>
      <w:r>
        <w:rPr>
          <w:b/>
          <w:sz w:val="24"/>
          <w:szCs w:val="24"/>
        </w:rPr>
        <w:t xml:space="preserve"> κύκλο</w:t>
      </w:r>
    </w:p>
    <w:p w:rsidR="002F78D0" w:rsidRDefault="002F78D0" w:rsidP="002F78D0">
      <w:pPr>
        <w:pStyle w:val="a5"/>
        <w:numPr>
          <w:ilvl w:val="0"/>
          <w:numId w:val="2"/>
        </w:numPr>
        <w:spacing w:after="120" w:line="300" w:lineRule="auto"/>
        <w:ind w:left="426" w:hanging="284"/>
        <w:contextualSpacing w:val="0"/>
      </w:pPr>
      <w:r>
        <w:t xml:space="preserve">Σε εφαρμογή του νέου κανονισμού της Ευρωπαϊκής Ένωσης για τις ενισχύσεις ήσσονος σημασίας, η λίστα των δικαιούχων ΚΑΔ έχει εμπλουτιστεί περαιτέρω, σε σχέση με τους 3 πρώτους κύκλους του προγράμματος. </w:t>
      </w:r>
    </w:p>
    <w:p w:rsidR="00AB75CD" w:rsidRDefault="001C33C2" w:rsidP="00CF1C7B">
      <w:pPr>
        <w:pStyle w:val="a5"/>
        <w:numPr>
          <w:ilvl w:val="0"/>
          <w:numId w:val="2"/>
        </w:numPr>
        <w:spacing w:after="120" w:line="300" w:lineRule="auto"/>
        <w:ind w:left="426" w:hanging="284"/>
        <w:contextualSpacing w:val="0"/>
      </w:pPr>
      <w:r>
        <w:t>Σε περίπτωση επιχείρησης με δραστηριοποίηση σε περισσότερους του ενός  ΚΑΔ, για την αξιολόγηση της επιλεξιμότητας λαμβάνεται καταρχάς υπόψη ο ΚΑΔ Κύριας Δραστηριότητας και εφόσον αυτός δεν είναι επιλέξιμος, δευτερευόντως ο ΚΑΔ με τα μεγαλύτερα έσοδα.</w:t>
      </w:r>
    </w:p>
    <w:p w:rsidR="00AB75CD" w:rsidRDefault="00AB75CD" w:rsidP="00AB75CD"/>
    <w:p w:rsidR="00781E55" w:rsidRPr="00AB75CD" w:rsidRDefault="00781E55" w:rsidP="00781E55"/>
    <w:p w:rsidR="00380D46" w:rsidRPr="00AB75CD" w:rsidRDefault="00380D46" w:rsidP="00280C02">
      <w:pPr>
        <w:spacing w:after="120" w:line="288" w:lineRule="auto"/>
        <w:rPr>
          <w:u w:val="single"/>
        </w:rPr>
      </w:pPr>
    </w:p>
    <w:p w:rsidR="00380D46" w:rsidRPr="00AB75CD" w:rsidRDefault="00380D46" w:rsidP="00280C02">
      <w:pPr>
        <w:spacing w:after="120" w:line="288" w:lineRule="auto"/>
        <w:rPr>
          <w:u w:val="single"/>
        </w:rPr>
      </w:pPr>
    </w:p>
    <w:p w:rsidR="00380D46" w:rsidRPr="00AB75CD" w:rsidRDefault="00380D46" w:rsidP="00280C02">
      <w:pPr>
        <w:spacing w:after="120" w:line="288" w:lineRule="auto"/>
        <w:rPr>
          <w:u w:val="single"/>
        </w:rPr>
      </w:pPr>
    </w:p>
    <w:p w:rsidR="00380D46" w:rsidRPr="00AB75CD" w:rsidRDefault="00380D46" w:rsidP="00280C02">
      <w:pPr>
        <w:spacing w:after="120" w:line="288" w:lineRule="auto"/>
        <w:rPr>
          <w:u w:val="single"/>
        </w:rPr>
      </w:pPr>
    </w:p>
    <w:sectPr w:rsidR="00380D46" w:rsidRPr="00AB75CD" w:rsidSect="00C14400">
      <w:footerReference w:type="default" r:id="rId7"/>
      <w:pgSz w:w="11906" w:h="16838"/>
      <w:pgMar w:top="567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2C6" w:rsidRDefault="008502C6" w:rsidP="001B776B">
      <w:pPr>
        <w:spacing w:after="0" w:line="240" w:lineRule="auto"/>
      </w:pPr>
      <w:r>
        <w:separator/>
      </w:r>
    </w:p>
  </w:endnote>
  <w:endnote w:type="continuationSeparator" w:id="0">
    <w:p w:rsidR="008502C6" w:rsidRDefault="008502C6" w:rsidP="001B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36093"/>
      <w:docPartObj>
        <w:docPartGallery w:val="Page Numbers (Bottom of Page)"/>
        <w:docPartUnique/>
      </w:docPartObj>
    </w:sdtPr>
    <w:sdtContent>
      <w:p w:rsidR="001B776B" w:rsidRDefault="00C0309C">
        <w:pPr>
          <w:pStyle w:val="a4"/>
          <w:jc w:val="right"/>
        </w:pPr>
        <w:fldSimple w:instr=" PAGE   \* MERGEFORMAT ">
          <w:r w:rsidR="002F78D0">
            <w:rPr>
              <w:noProof/>
            </w:rPr>
            <w:t>1</w:t>
          </w:r>
        </w:fldSimple>
      </w:p>
    </w:sdtContent>
  </w:sdt>
  <w:p w:rsidR="001B776B" w:rsidRDefault="001B77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2C6" w:rsidRDefault="008502C6" w:rsidP="001B776B">
      <w:pPr>
        <w:spacing w:after="0" w:line="240" w:lineRule="auto"/>
      </w:pPr>
      <w:r>
        <w:separator/>
      </w:r>
    </w:p>
  </w:footnote>
  <w:footnote w:type="continuationSeparator" w:id="0">
    <w:p w:rsidR="008502C6" w:rsidRDefault="008502C6" w:rsidP="001B7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E553A"/>
    <w:multiLevelType w:val="hybridMultilevel"/>
    <w:tmpl w:val="9844F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6F7A52"/>
    <w:multiLevelType w:val="hybridMultilevel"/>
    <w:tmpl w:val="D6F4D890"/>
    <w:lvl w:ilvl="0" w:tplc="0408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EEC"/>
    <w:rsid w:val="0002753D"/>
    <w:rsid w:val="0005462D"/>
    <w:rsid w:val="00132EEC"/>
    <w:rsid w:val="001B776B"/>
    <w:rsid w:val="001C33C2"/>
    <w:rsid w:val="00280C02"/>
    <w:rsid w:val="002F78D0"/>
    <w:rsid w:val="00380D46"/>
    <w:rsid w:val="00384DB8"/>
    <w:rsid w:val="00411813"/>
    <w:rsid w:val="00510CC3"/>
    <w:rsid w:val="00653892"/>
    <w:rsid w:val="00781E55"/>
    <w:rsid w:val="008502C6"/>
    <w:rsid w:val="008E1B7F"/>
    <w:rsid w:val="008E44A4"/>
    <w:rsid w:val="008E4856"/>
    <w:rsid w:val="00AB75CD"/>
    <w:rsid w:val="00C0309C"/>
    <w:rsid w:val="00C14400"/>
    <w:rsid w:val="00CF1C7B"/>
    <w:rsid w:val="00DC61A6"/>
    <w:rsid w:val="00FF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77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1B776B"/>
  </w:style>
  <w:style w:type="paragraph" w:styleId="a4">
    <w:name w:val="footer"/>
    <w:basedOn w:val="a"/>
    <w:link w:val="Char0"/>
    <w:uiPriority w:val="99"/>
    <w:unhideWhenUsed/>
    <w:rsid w:val="001B77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B776B"/>
  </w:style>
  <w:style w:type="paragraph" w:styleId="a5">
    <w:name w:val="List Paragraph"/>
    <w:basedOn w:val="a"/>
    <w:uiPriority w:val="34"/>
    <w:qFormat/>
    <w:rsid w:val="00781E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Georgokostas</dc:creator>
  <cp:lastModifiedBy>Nikos Georgokostas</cp:lastModifiedBy>
  <cp:revision>5</cp:revision>
  <dcterms:created xsi:type="dcterms:W3CDTF">2024-02-27T14:32:00Z</dcterms:created>
  <dcterms:modified xsi:type="dcterms:W3CDTF">2024-02-29T15:24:00Z</dcterms:modified>
</cp:coreProperties>
</file>